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26CC" w:rsidRPr="00FB7B40" w:rsidRDefault="003F26CC" w:rsidP="003F26CC">
      <w:pPr>
        <w:spacing w:line="480" w:lineRule="auto"/>
        <w:rPr>
          <w:b/>
          <w:sz w:val="22"/>
          <w:szCs w:val="22"/>
        </w:rPr>
      </w:pPr>
      <w:r w:rsidRPr="00FB7B40">
        <w:rPr>
          <w:rFonts w:hint="eastAsia"/>
          <w:b/>
          <w:sz w:val="22"/>
          <w:szCs w:val="22"/>
        </w:rPr>
        <w:t>Su</w:t>
      </w:r>
      <w:r>
        <w:rPr>
          <w:b/>
          <w:sz w:val="22"/>
          <w:szCs w:val="22"/>
        </w:rPr>
        <w:t>pplementary ma</w:t>
      </w:r>
      <w:r w:rsidRPr="00FB7B40">
        <w:rPr>
          <w:b/>
          <w:sz w:val="22"/>
          <w:szCs w:val="22"/>
        </w:rPr>
        <w:t>terials</w:t>
      </w:r>
    </w:p>
    <w:p w:rsidR="003F26CC" w:rsidRDefault="003F26CC" w:rsidP="003F26CC">
      <w:r w:rsidRPr="00B1622D">
        <w:rPr>
          <w:noProof/>
        </w:rPr>
        <w:drawing>
          <wp:inline distT="0" distB="0" distL="0" distR="0" wp14:anchorId="0086A7D2" wp14:editId="48E0C2C2">
            <wp:extent cx="5270500" cy="4217670"/>
            <wp:effectExtent l="0" t="0" r="12700" b="0"/>
            <wp:docPr id="2" name="图片 1" descr="g_name~ 4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g_name~ 43.tif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21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6CC" w:rsidRPr="00B1622D" w:rsidRDefault="003F26CC" w:rsidP="003F26CC">
      <w:pPr>
        <w:pStyle w:val="NormalWeb"/>
        <w:spacing w:before="0" w:beforeAutospacing="0" w:after="240" w:afterAutospacing="0" w:line="360" w:lineRule="exact"/>
        <w:jc w:val="both"/>
        <w:textAlignment w:val="baseline"/>
        <w:rPr>
          <w:sz w:val="22"/>
          <w:szCs w:val="22"/>
        </w:rPr>
      </w:pPr>
      <w:r w:rsidRPr="00B1622D">
        <w:rPr>
          <w:rFonts w:eastAsia="DengXian" w:cs="DengXian"/>
          <w:color w:val="000000" w:themeColor="text1"/>
          <w:kern w:val="24"/>
          <w:sz w:val="22"/>
          <w:szCs w:val="22"/>
        </w:rPr>
        <w:t>Supplementary Figure S1.  Percentages of subspecialists initially visited by RPC patients.</w:t>
      </w:r>
    </w:p>
    <w:p w:rsidR="003F26CC" w:rsidRPr="00B867F7" w:rsidRDefault="003F26CC" w:rsidP="003F26CC">
      <w:pPr>
        <w:rPr>
          <w:sz w:val="22"/>
          <w:szCs w:val="22"/>
        </w:rPr>
      </w:pPr>
      <w:r w:rsidRPr="00B867F7">
        <w:rPr>
          <w:sz w:val="22"/>
          <w:szCs w:val="22"/>
        </w:rPr>
        <w:lastRenderedPageBreak/>
        <w:t>Supplementary Table S1 Characteristics of patients with relapsing polychondritis in present study and previous series.</w:t>
      </w:r>
    </w:p>
    <w:tbl>
      <w:tblPr>
        <w:tblpPr w:leftFromText="180" w:rightFromText="180" w:vertAnchor="text" w:horzAnchor="page" w:tblpX="1942" w:tblpY="995"/>
        <w:tblW w:w="12074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8"/>
        <w:gridCol w:w="987"/>
        <w:gridCol w:w="993"/>
        <w:gridCol w:w="850"/>
        <w:gridCol w:w="1168"/>
        <w:gridCol w:w="943"/>
        <w:gridCol w:w="943"/>
        <w:gridCol w:w="966"/>
        <w:gridCol w:w="961"/>
        <w:gridCol w:w="902"/>
        <w:gridCol w:w="943"/>
      </w:tblGrid>
      <w:tr w:rsidR="003F26CC" w:rsidRPr="007173DD" w:rsidTr="007D3E66">
        <w:trPr>
          <w:trHeight w:hRule="exact" w:val="672"/>
        </w:trPr>
        <w:tc>
          <w:tcPr>
            <w:tcW w:w="2418" w:type="dxa"/>
            <w:tcBorders>
              <w:top w:val="single" w:sz="4" w:space="0" w:color="auto"/>
              <w:bottom w:val="single" w:sz="4" w:space="0" w:color="auto"/>
            </w:tcBorders>
          </w:tcPr>
          <w:p w:rsidR="003F26CC" w:rsidRPr="007173DD" w:rsidRDefault="003F26CC" w:rsidP="007D3E66">
            <w:pPr>
              <w:pStyle w:val="2A"/>
              <w:widowControl/>
              <w:tabs>
                <w:tab w:val="left" w:pos="142"/>
                <w:tab w:val="left" w:pos="1843"/>
              </w:tabs>
              <w:spacing w:after="0" w:line="300" w:lineRule="exact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Clinical features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300" w:lineRule="exact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Present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study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300" w:lineRule="exact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Ferrada et al,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2018</w:t>
            </w:r>
            <w:r>
              <w:rPr>
                <w:rFonts w:ascii="Times New Roman" w:hAnsi="Times New Roman" w:cs="Times New Roman"/>
                <w:noProof/>
                <w:color w:val="auto"/>
                <w:sz w:val="18"/>
                <w:szCs w:val="18"/>
              </w:rPr>
              <w:t>[1]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300" w:lineRule="exact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Dion et al,2016</w:t>
            </w:r>
            <w:r>
              <w:rPr>
                <w:rFonts w:ascii="Times New Roman" w:hAnsi="Times New Roman" w:cs="Times New Roman"/>
                <w:noProof/>
                <w:color w:val="auto"/>
                <w:sz w:val="18"/>
                <w:szCs w:val="18"/>
              </w:rPr>
              <w:t>[2]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3F26CC" w:rsidRDefault="003F26CC" w:rsidP="007D3E66">
            <w:pPr>
              <w:pStyle w:val="2A"/>
              <w:widowControl/>
              <w:spacing w:after="0" w:line="300" w:lineRule="exact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Lin DF et al,2016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noProof/>
                <w:color w:val="auto"/>
                <w:sz w:val="18"/>
                <w:szCs w:val="18"/>
              </w:rPr>
              <w:t>[3]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</w:tcPr>
          <w:p w:rsidR="003F26CC" w:rsidRDefault="003F26CC" w:rsidP="007D3E66">
            <w:pPr>
              <w:pStyle w:val="2A"/>
              <w:widowControl/>
              <w:spacing w:after="0" w:line="300" w:lineRule="exact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Oka H et al,2014</w:t>
            </w:r>
            <w:r>
              <w:rPr>
                <w:rFonts w:ascii="Times New Roman" w:hAnsi="Times New Roman" w:cs="Times New Roman"/>
                <w:noProof/>
                <w:color w:val="auto"/>
                <w:sz w:val="18"/>
                <w:szCs w:val="18"/>
              </w:rPr>
              <w:t>[4]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300" w:lineRule="exact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Mathew et al,2012</w:t>
            </w:r>
            <w:r>
              <w:rPr>
                <w:rFonts w:ascii="Times New Roman" w:hAnsi="Times New Roman" w:cs="Times New Roman"/>
                <w:noProof/>
                <w:color w:val="auto"/>
                <w:sz w:val="18"/>
                <w:szCs w:val="18"/>
              </w:rPr>
              <w:t>[5]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300" w:lineRule="exact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Trentham et al,1998</w:t>
            </w:r>
            <w:r>
              <w:rPr>
                <w:rFonts w:ascii="Times New Roman" w:hAnsi="Times New Roman" w:cs="Times New Roman"/>
                <w:noProof/>
                <w:color w:val="auto"/>
                <w:sz w:val="18"/>
                <w:szCs w:val="18"/>
              </w:rPr>
              <w:t>[6]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300" w:lineRule="exact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Zeuner et al,1997</w:t>
            </w:r>
            <w:r>
              <w:rPr>
                <w:rFonts w:ascii="Times New Roman" w:hAnsi="Times New Roman" w:cs="Times New Roman"/>
                <w:noProof/>
                <w:color w:val="auto"/>
                <w:sz w:val="18"/>
                <w:szCs w:val="18"/>
              </w:rPr>
              <w:t>[7]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:rsidR="003F26CC" w:rsidRDefault="003F26CC" w:rsidP="007D3E66">
            <w:pPr>
              <w:pStyle w:val="2A"/>
              <w:widowControl/>
              <w:spacing w:after="0" w:line="300" w:lineRule="exact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Michet et al,1986</w:t>
            </w:r>
            <w:r>
              <w:rPr>
                <w:rFonts w:ascii="Times New Roman" w:hAnsi="Times New Roman" w:cs="Times New Roman"/>
                <w:noProof/>
                <w:color w:val="auto"/>
                <w:sz w:val="18"/>
                <w:szCs w:val="18"/>
              </w:rPr>
              <w:t>[8]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</w:tcPr>
          <w:p w:rsidR="003F26CC" w:rsidRDefault="003F26CC" w:rsidP="007D3E66">
            <w:pPr>
              <w:pStyle w:val="2A"/>
              <w:widowControl/>
              <w:spacing w:after="0" w:line="300" w:lineRule="exact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McAdam et al,1976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c</w:t>
            </w:r>
            <w:r w:rsidRPr="00C01913">
              <w:rPr>
                <w:rFonts w:ascii="Times New Roman" w:hAnsi="Times New Roman" w:cs="Times New Roman"/>
                <w:noProof/>
                <w:color w:val="auto"/>
                <w:sz w:val="18"/>
                <w:szCs w:val="18"/>
              </w:rPr>
              <w:t>[9]</w:t>
            </w:r>
          </w:p>
        </w:tc>
      </w:tr>
      <w:tr w:rsidR="003F26CC" w:rsidRPr="007173DD" w:rsidTr="007D3E66">
        <w:trPr>
          <w:trHeight w:hRule="exact" w:val="347"/>
        </w:trPr>
        <w:tc>
          <w:tcPr>
            <w:tcW w:w="2418" w:type="dxa"/>
            <w:tcBorders>
              <w:top w:val="single" w:sz="4" w:space="0" w:color="auto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No. of patients</w:t>
            </w:r>
          </w:p>
        </w:tc>
        <w:tc>
          <w:tcPr>
            <w:tcW w:w="987" w:type="dxa"/>
            <w:tcBorders>
              <w:top w:val="single" w:sz="4" w:space="0" w:color="auto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126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304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142</w:t>
            </w:r>
          </w:p>
        </w:tc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158</w:t>
            </w:r>
          </w:p>
        </w:tc>
        <w:tc>
          <w:tcPr>
            <w:tcW w:w="943" w:type="dxa"/>
            <w:tcBorders>
              <w:top w:val="single" w:sz="4" w:space="0" w:color="auto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239</w:t>
            </w:r>
          </w:p>
        </w:tc>
        <w:tc>
          <w:tcPr>
            <w:tcW w:w="943" w:type="dxa"/>
            <w:tcBorders>
              <w:top w:val="single" w:sz="4" w:space="0" w:color="auto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43</w:t>
            </w:r>
          </w:p>
        </w:tc>
        <w:tc>
          <w:tcPr>
            <w:tcW w:w="966" w:type="dxa"/>
            <w:tcBorders>
              <w:top w:val="single" w:sz="4" w:space="0" w:color="auto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66</w:t>
            </w:r>
          </w:p>
        </w:tc>
        <w:tc>
          <w:tcPr>
            <w:tcW w:w="961" w:type="dxa"/>
            <w:tcBorders>
              <w:top w:val="single" w:sz="4" w:space="0" w:color="auto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62</w:t>
            </w:r>
          </w:p>
        </w:tc>
        <w:tc>
          <w:tcPr>
            <w:tcW w:w="902" w:type="dxa"/>
            <w:tcBorders>
              <w:top w:val="single" w:sz="4" w:space="0" w:color="auto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112</w:t>
            </w:r>
          </w:p>
        </w:tc>
        <w:tc>
          <w:tcPr>
            <w:tcW w:w="943" w:type="dxa"/>
            <w:tcBorders>
              <w:top w:val="single" w:sz="4" w:space="0" w:color="auto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159</w:t>
            </w:r>
          </w:p>
        </w:tc>
      </w:tr>
      <w:tr w:rsidR="003F26CC" w:rsidRPr="007173DD" w:rsidTr="007D3E66">
        <w:trPr>
          <w:trHeight w:hRule="exact" w:val="312"/>
        </w:trPr>
        <w:tc>
          <w:tcPr>
            <w:tcW w:w="2418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Country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North China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International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France</w:t>
            </w:r>
          </w:p>
        </w:tc>
        <w:tc>
          <w:tcPr>
            <w:tcW w:w="1168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South China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Japan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USA</w:t>
            </w:r>
          </w:p>
        </w:tc>
        <w:tc>
          <w:tcPr>
            <w:tcW w:w="966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USA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German</w:t>
            </w:r>
          </w:p>
        </w:tc>
        <w:tc>
          <w:tcPr>
            <w:tcW w:w="902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USA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USA</w:t>
            </w:r>
          </w:p>
        </w:tc>
      </w:tr>
      <w:tr w:rsidR="003F26CC" w:rsidRPr="007173DD" w:rsidTr="007D3E66">
        <w:trPr>
          <w:trHeight w:hRule="exact" w:val="385"/>
        </w:trPr>
        <w:tc>
          <w:tcPr>
            <w:tcW w:w="2418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Study design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Retro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Survey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Retro</w:t>
            </w:r>
          </w:p>
        </w:tc>
        <w:tc>
          <w:tcPr>
            <w:tcW w:w="1168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Retro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Survey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Retro</w:t>
            </w:r>
          </w:p>
        </w:tc>
        <w:tc>
          <w:tcPr>
            <w:tcW w:w="966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Retro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Survey</w:t>
            </w:r>
          </w:p>
        </w:tc>
        <w:tc>
          <w:tcPr>
            <w:tcW w:w="902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Retro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Retro+Liter</w:t>
            </w:r>
          </w:p>
        </w:tc>
      </w:tr>
      <w:tr w:rsidR="003F26CC" w:rsidRPr="007173DD" w:rsidTr="007D3E66">
        <w:trPr>
          <w:trHeight w:hRule="exact" w:val="312"/>
        </w:trPr>
        <w:tc>
          <w:tcPr>
            <w:tcW w:w="2418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Demographic characteristics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02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3F26CC" w:rsidRPr="007173DD" w:rsidTr="007D3E66">
        <w:trPr>
          <w:trHeight w:hRule="exact" w:val="336"/>
        </w:trPr>
        <w:tc>
          <w:tcPr>
            <w:tcW w:w="2418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Sex, F/M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60/66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263/41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86/56</w:t>
            </w:r>
          </w:p>
        </w:tc>
        <w:tc>
          <w:tcPr>
            <w:tcW w:w="1168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65/93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112/127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23/20</w:t>
            </w:r>
          </w:p>
        </w:tc>
        <w:tc>
          <w:tcPr>
            <w:tcW w:w="966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49/17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26/36</w:t>
            </w:r>
          </w:p>
        </w:tc>
        <w:tc>
          <w:tcPr>
            <w:tcW w:w="902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55/57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76/83</w:t>
            </w:r>
          </w:p>
        </w:tc>
      </w:tr>
      <w:tr w:rsidR="003F26CC" w:rsidRPr="007173DD" w:rsidTr="007D3E66">
        <w:trPr>
          <w:trHeight w:hRule="exact" w:val="350"/>
        </w:trPr>
        <w:tc>
          <w:tcPr>
            <w:tcW w:w="2418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Mean age at onset, years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47.1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43.5</w:t>
            </w:r>
          </w:p>
        </w:tc>
        <w:tc>
          <w:tcPr>
            <w:tcW w:w="1168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52.7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66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02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</w:tr>
      <w:tr w:rsidR="003F26CC" w:rsidRPr="007173DD" w:rsidTr="007D3E66">
        <w:trPr>
          <w:trHeight w:hRule="exact" w:val="327"/>
        </w:trPr>
        <w:tc>
          <w:tcPr>
            <w:tcW w:w="2418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Mean age at diagnosis, years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47.8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43.2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1168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45.3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43</w:t>
            </w:r>
          </w:p>
        </w:tc>
        <w:tc>
          <w:tcPr>
            <w:tcW w:w="966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46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46.6*</w:t>
            </w:r>
          </w:p>
        </w:tc>
        <w:tc>
          <w:tcPr>
            <w:tcW w:w="902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51*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43.8</w:t>
            </w:r>
          </w:p>
        </w:tc>
      </w:tr>
      <w:tr w:rsidR="003F26CC" w:rsidRPr="007173DD" w:rsidTr="007D3E66">
        <w:trPr>
          <w:trHeight w:hRule="exact" w:val="312"/>
        </w:trPr>
        <w:tc>
          <w:tcPr>
            <w:tcW w:w="2418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Follow-up, months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18(1-153)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3F26CC" w:rsidRPr="005C394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C394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F26CC" w:rsidRPr="005C394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C394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156!</w:t>
            </w:r>
          </w:p>
        </w:tc>
        <w:tc>
          <w:tcPr>
            <w:tcW w:w="1168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66" w:type="dxa"/>
            <w:tcBorders>
              <w:top w:val="nil"/>
              <w:bottom w:val="nil"/>
            </w:tcBorders>
          </w:tcPr>
          <w:p w:rsidR="003F26CC" w:rsidRPr="005C394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C394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96!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:rsidR="003F26CC" w:rsidRPr="005C394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C394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11!</w:t>
            </w:r>
          </w:p>
        </w:tc>
        <w:tc>
          <w:tcPr>
            <w:tcW w:w="902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72(1-240)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4.3 !</w:t>
            </w:r>
          </w:p>
        </w:tc>
      </w:tr>
      <w:tr w:rsidR="003F26CC" w:rsidRPr="007173DD" w:rsidTr="007D3E66">
        <w:trPr>
          <w:trHeight w:hRule="exact" w:val="350"/>
        </w:trPr>
        <w:tc>
          <w:tcPr>
            <w:tcW w:w="2418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Median delay, months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5(0-132)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NA#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12(0-300)</w:t>
            </w:r>
          </w:p>
        </w:tc>
        <w:tc>
          <w:tcPr>
            <w:tcW w:w="1168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14(0.3-168)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38.4**</w:t>
            </w:r>
          </w:p>
        </w:tc>
        <w:tc>
          <w:tcPr>
            <w:tcW w:w="966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34.8**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02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</w:tr>
      <w:tr w:rsidR="003F26CC" w:rsidRPr="007173DD" w:rsidTr="007D3E66">
        <w:trPr>
          <w:trHeight w:hRule="exact" w:val="312"/>
        </w:trPr>
        <w:tc>
          <w:tcPr>
            <w:tcW w:w="2418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Clinical features, n(%)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02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3F26CC" w:rsidRPr="007173DD" w:rsidTr="007D3E66">
        <w:trPr>
          <w:trHeight w:hRule="exact" w:val="312"/>
        </w:trPr>
        <w:tc>
          <w:tcPr>
            <w:tcW w:w="2418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Auricular chondritis 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75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59.6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262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86.2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127(89.4)</w:t>
            </w:r>
          </w:p>
        </w:tc>
        <w:tc>
          <w:tcPr>
            <w:tcW w:w="1168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107(67.7)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187(78.2)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38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(88.4)</w:t>
            </w:r>
          </w:p>
        </w:tc>
        <w:tc>
          <w:tcPr>
            <w:tcW w:w="966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62(93.9)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58(93.5)</w:t>
            </w:r>
          </w:p>
        </w:tc>
        <w:tc>
          <w:tcPr>
            <w:tcW w:w="902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95(84.8)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141(88.7)</w:t>
            </w:r>
          </w:p>
        </w:tc>
      </w:tr>
      <w:tr w:rsidR="003F26CC" w:rsidRPr="007173DD" w:rsidTr="007D3E66">
        <w:trPr>
          <w:trHeight w:hRule="exact" w:val="308"/>
        </w:trPr>
        <w:tc>
          <w:tcPr>
            <w:tcW w:w="2418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Larygotracheal</w:t>
            </w:r>
          </w:p>
        </w:tc>
        <w:tc>
          <w:tcPr>
            <w:tcW w:w="987" w:type="dxa"/>
            <w:tcBorders>
              <w:top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60(47.7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  <w:r>
              <w:rPr>
                <w:rFonts w:ascii="Times" w:hAnsi="Times" w:cs="Times"/>
                <w:color w:val="1A1718"/>
                <w:sz w:val="21"/>
                <w:szCs w:val="21"/>
              </w:rPr>
              <w:t>¶</w:t>
            </w:r>
          </w:p>
        </w:tc>
        <w:tc>
          <w:tcPr>
            <w:tcW w:w="993" w:type="dxa"/>
            <w:tcBorders>
              <w:top w:val="nil"/>
            </w:tcBorders>
          </w:tcPr>
          <w:p w:rsidR="003F26CC" w:rsidRPr="00836D1E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836D1E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850" w:type="dxa"/>
            <w:tcBorders>
              <w:top w:val="nil"/>
            </w:tcBorders>
          </w:tcPr>
          <w:p w:rsidR="003F26CC" w:rsidRDefault="003F26CC" w:rsidP="007D3E66">
            <w:pPr>
              <w:autoSpaceDE w:val="0"/>
              <w:autoSpaceDN w:val="0"/>
              <w:adjustRightInd w:val="0"/>
              <w:spacing w:line="260" w:lineRule="atLeast"/>
              <w:rPr>
                <w:rFonts w:ascii="Times" w:hAnsi="Times" w:cs="Times"/>
                <w:color w:val="000000"/>
              </w:rPr>
            </w:pPr>
            <w:r>
              <w:rPr>
                <w:sz w:val="18"/>
                <w:szCs w:val="18"/>
              </w:rPr>
              <w:t>71(50.0)</w:t>
            </w:r>
            <w:r w:rsidRPr="00AF2F71">
              <w:rPr>
                <w:rFonts w:ascii="Times" w:hAnsi="Times" w:cs="Times"/>
                <w:color w:val="1A1718"/>
                <w:sz w:val="18"/>
                <w:szCs w:val="21"/>
              </w:rPr>
              <w:t>§</w:t>
            </w:r>
            <w:r>
              <w:rPr>
                <w:rFonts w:ascii="Times" w:hAnsi="Times" w:cs="Times"/>
                <w:color w:val="1A1718"/>
                <w:sz w:val="21"/>
                <w:szCs w:val="21"/>
              </w:rPr>
              <w:t xml:space="preserve"> </w:t>
            </w:r>
          </w:p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nil"/>
            </w:tcBorders>
          </w:tcPr>
          <w:p w:rsidR="003F26CC" w:rsidRPr="00F944C4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109(68.9)</w:t>
            </w:r>
          </w:p>
        </w:tc>
        <w:tc>
          <w:tcPr>
            <w:tcW w:w="943" w:type="dxa"/>
            <w:tcBorders>
              <w:top w:val="nil"/>
            </w:tcBorders>
          </w:tcPr>
          <w:p w:rsidR="003F26CC" w:rsidRDefault="003F26CC" w:rsidP="007D3E66">
            <w:pPr>
              <w:autoSpaceDE w:val="0"/>
              <w:autoSpaceDN w:val="0"/>
              <w:adjustRightInd w:val="0"/>
              <w:spacing w:line="260" w:lineRule="atLeast"/>
              <w:rPr>
                <w:rFonts w:ascii="Times" w:hAnsi="Times" w:cs="Times"/>
                <w:color w:val="000000"/>
              </w:rPr>
            </w:pPr>
            <w:r>
              <w:rPr>
                <w:sz w:val="18"/>
                <w:szCs w:val="18"/>
              </w:rPr>
              <w:t>119(49.8)</w:t>
            </w:r>
            <w:r>
              <w:rPr>
                <w:rFonts w:ascii="Times" w:hAnsi="Times" w:cs="Times"/>
                <w:color w:val="1A1718"/>
                <w:sz w:val="21"/>
                <w:szCs w:val="21"/>
              </w:rPr>
              <w:t>‡</w:t>
            </w:r>
            <w:r>
              <w:rPr>
                <w:rFonts w:ascii="MS Mincho" w:eastAsia="MS Mincho" w:hAnsi="MS Mincho" w:cs="MS Mincho"/>
                <w:color w:val="1A1718"/>
                <w:sz w:val="21"/>
                <w:szCs w:val="21"/>
              </w:rPr>
              <w:t> </w:t>
            </w:r>
          </w:p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16(37.2)</w:t>
            </w:r>
          </w:p>
        </w:tc>
        <w:tc>
          <w:tcPr>
            <w:tcW w:w="966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44(66.7)</w:t>
            </w:r>
          </w:p>
        </w:tc>
        <w:tc>
          <w:tcPr>
            <w:tcW w:w="961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19(30.6)</w:t>
            </w:r>
          </w:p>
        </w:tc>
        <w:tc>
          <w:tcPr>
            <w:tcW w:w="902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53(47.3)</w:t>
            </w:r>
          </w:p>
        </w:tc>
        <w:tc>
          <w:tcPr>
            <w:tcW w:w="943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89(55.9)</w:t>
            </w:r>
          </w:p>
        </w:tc>
      </w:tr>
      <w:tr w:rsidR="003F26CC" w:rsidRPr="007173DD" w:rsidTr="007D3E66">
        <w:trPr>
          <w:trHeight w:hRule="exact" w:val="312"/>
        </w:trPr>
        <w:tc>
          <w:tcPr>
            <w:tcW w:w="2418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Laryngeal</w:t>
            </w:r>
          </w:p>
        </w:tc>
        <w:tc>
          <w:tcPr>
            <w:tcW w:w="987" w:type="dxa"/>
            <w:tcBorders>
              <w:top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19(15.1)</w:t>
            </w:r>
          </w:p>
        </w:tc>
        <w:tc>
          <w:tcPr>
            <w:tcW w:w="993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836D1E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180(59.2)</w:t>
            </w:r>
          </w:p>
        </w:tc>
        <w:tc>
          <w:tcPr>
            <w:tcW w:w="850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61(43.0)</w:t>
            </w:r>
          </w:p>
        </w:tc>
        <w:tc>
          <w:tcPr>
            <w:tcW w:w="1168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F944C4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45/128(35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.2)</w:t>
            </w:r>
            <w:r>
              <w:rPr>
                <w:rFonts w:ascii="Times" w:hAnsi="Times" w:cs="Times"/>
                <w:color w:val="1A1718"/>
                <w:sz w:val="21"/>
                <w:szCs w:val="21"/>
              </w:rPr>
              <w:t>†</w:t>
            </w:r>
          </w:p>
        </w:tc>
        <w:tc>
          <w:tcPr>
            <w:tcW w:w="943" w:type="dxa"/>
            <w:tcBorders>
              <w:top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47(19.7)</w:t>
            </w:r>
          </w:p>
        </w:tc>
        <w:tc>
          <w:tcPr>
            <w:tcW w:w="943" w:type="dxa"/>
            <w:tcBorders>
              <w:top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NA</w:t>
            </w:r>
          </w:p>
        </w:tc>
        <w:tc>
          <w:tcPr>
            <w:tcW w:w="966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61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02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19(16.9)</w:t>
            </w:r>
          </w:p>
        </w:tc>
        <w:tc>
          <w:tcPr>
            <w:tcW w:w="943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</w:tr>
      <w:tr w:rsidR="003F26CC" w:rsidRPr="007173DD" w:rsidTr="007D3E66">
        <w:trPr>
          <w:trHeight w:hRule="exact" w:val="331"/>
        </w:trPr>
        <w:tc>
          <w:tcPr>
            <w:tcW w:w="2418" w:type="dxa"/>
            <w:tcBorders>
              <w:top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Tracheobr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nchial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987" w:type="dxa"/>
            <w:tcBorders>
              <w:top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51(40.5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993" w:type="dxa"/>
            <w:tcBorders>
              <w:top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225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74.0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850" w:type="dxa"/>
            <w:tcBorders>
              <w:top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32(22.5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1168" w:type="dxa"/>
            <w:tcBorders>
              <w:top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43" w:type="dxa"/>
            <w:tcBorders>
              <w:top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97(40.6)</w:t>
            </w:r>
          </w:p>
        </w:tc>
        <w:tc>
          <w:tcPr>
            <w:tcW w:w="943" w:type="dxa"/>
            <w:tcBorders>
              <w:top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NA</w:t>
            </w:r>
          </w:p>
        </w:tc>
        <w:tc>
          <w:tcPr>
            <w:tcW w:w="966" w:type="dxa"/>
            <w:tcBorders>
              <w:top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61" w:type="dxa"/>
            <w:tcBorders>
              <w:top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02" w:type="dxa"/>
            <w:tcBorders>
              <w:top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43" w:type="dxa"/>
            <w:tcBorders>
              <w:top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</w:tr>
      <w:tr w:rsidR="003F26CC" w:rsidRPr="007173DD" w:rsidTr="007D3E66">
        <w:trPr>
          <w:trHeight w:hRule="exact" w:val="336"/>
        </w:trPr>
        <w:tc>
          <w:tcPr>
            <w:tcW w:w="2418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Ocular inflammation </w:t>
            </w:r>
          </w:p>
        </w:tc>
        <w:tc>
          <w:tcPr>
            <w:tcW w:w="987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34 (26.9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  <w:r w:rsidRPr="007173DD" w:rsidDel="0099376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993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151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49.7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80 (56.3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  <w:r w:rsidRPr="007173DD" w:rsidDel="0099376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1168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70(44.3)</w:t>
            </w:r>
          </w:p>
        </w:tc>
        <w:tc>
          <w:tcPr>
            <w:tcW w:w="943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109(45.6)</w:t>
            </w:r>
          </w:p>
        </w:tc>
        <w:tc>
          <w:tcPr>
            <w:tcW w:w="943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23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(53.5)</w:t>
            </w:r>
          </w:p>
        </w:tc>
        <w:tc>
          <w:tcPr>
            <w:tcW w:w="966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37(56.1)</w:t>
            </w:r>
          </w:p>
        </w:tc>
        <w:tc>
          <w:tcPr>
            <w:tcW w:w="961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31(50.0)</w:t>
            </w:r>
          </w:p>
        </w:tc>
        <w:tc>
          <w:tcPr>
            <w:tcW w:w="902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57(50.9)</w:t>
            </w:r>
          </w:p>
        </w:tc>
        <w:tc>
          <w:tcPr>
            <w:tcW w:w="943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104(65.4)</w:t>
            </w:r>
          </w:p>
        </w:tc>
      </w:tr>
      <w:tr w:rsidR="003F26CC" w:rsidRPr="007173DD" w:rsidTr="007D3E66">
        <w:trPr>
          <w:trHeight w:hRule="exact" w:val="312"/>
        </w:trPr>
        <w:tc>
          <w:tcPr>
            <w:tcW w:w="2418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Fever </w:t>
            </w:r>
          </w:p>
        </w:tc>
        <w:tc>
          <w:tcPr>
            <w:tcW w:w="987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26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(20.7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43(30.3)</w:t>
            </w:r>
          </w:p>
        </w:tc>
        <w:tc>
          <w:tcPr>
            <w:tcW w:w="1168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43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43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66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61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15(24.2)</w:t>
            </w:r>
          </w:p>
        </w:tc>
        <w:tc>
          <w:tcPr>
            <w:tcW w:w="902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44(39.3)</w:t>
            </w:r>
          </w:p>
        </w:tc>
        <w:tc>
          <w:tcPr>
            <w:tcW w:w="943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</w:tr>
      <w:tr w:rsidR="003F26CC" w:rsidRPr="007173DD" w:rsidTr="007D3E66">
        <w:trPr>
          <w:trHeight w:hRule="exact" w:val="312"/>
        </w:trPr>
        <w:tc>
          <w:tcPr>
            <w:tcW w:w="2418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Nasal chondritis</w:t>
            </w:r>
          </w:p>
        </w:tc>
        <w:tc>
          <w:tcPr>
            <w:tcW w:w="987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22(17.5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193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63.5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89(62.7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1168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85(53.8)</w:t>
            </w:r>
          </w:p>
        </w:tc>
        <w:tc>
          <w:tcPr>
            <w:tcW w:w="943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94(39.3)</w:t>
            </w:r>
          </w:p>
        </w:tc>
        <w:tc>
          <w:tcPr>
            <w:tcW w:w="943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15(34.8)</w:t>
            </w:r>
          </w:p>
        </w:tc>
        <w:tc>
          <w:tcPr>
            <w:tcW w:w="966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32(48.5)</w:t>
            </w:r>
          </w:p>
        </w:tc>
        <w:tc>
          <w:tcPr>
            <w:tcW w:w="961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35(56.5)</w:t>
            </w:r>
          </w:p>
        </w:tc>
        <w:tc>
          <w:tcPr>
            <w:tcW w:w="902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60(53.6)</w:t>
            </w:r>
          </w:p>
        </w:tc>
        <w:tc>
          <w:tcPr>
            <w:tcW w:w="943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115(72.3)</w:t>
            </w:r>
          </w:p>
        </w:tc>
      </w:tr>
      <w:tr w:rsidR="003F26CC" w:rsidRPr="007173DD" w:rsidTr="007D3E66">
        <w:trPr>
          <w:trHeight w:hRule="exact" w:val="312"/>
        </w:trPr>
        <w:tc>
          <w:tcPr>
            <w:tcW w:w="2418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Arthritis</w:t>
            </w:r>
          </w:p>
        </w:tc>
        <w:tc>
          <w:tcPr>
            <w:tcW w:w="987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23 (18.3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250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82.2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47 (33.1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1168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88(55.7)</w:t>
            </w:r>
          </w:p>
        </w:tc>
        <w:tc>
          <w:tcPr>
            <w:tcW w:w="943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92(38.5)</w:t>
            </w:r>
          </w:p>
        </w:tc>
        <w:tc>
          <w:tcPr>
            <w:tcW w:w="943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26(60.5)</w:t>
            </w:r>
          </w:p>
        </w:tc>
        <w:tc>
          <w:tcPr>
            <w:tcW w:w="966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56(84.8)</w:t>
            </w:r>
          </w:p>
        </w:tc>
        <w:tc>
          <w:tcPr>
            <w:tcW w:w="961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33(53.2)</w:t>
            </w:r>
          </w:p>
        </w:tc>
        <w:tc>
          <w:tcPr>
            <w:tcW w:w="902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58(51.8)</w:t>
            </w:r>
          </w:p>
        </w:tc>
        <w:tc>
          <w:tcPr>
            <w:tcW w:w="943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121(76.1)</w:t>
            </w:r>
          </w:p>
        </w:tc>
      </w:tr>
      <w:tr w:rsidR="003F26CC" w:rsidRPr="007173DD" w:rsidTr="007D3E66">
        <w:trPr>
          <w:trHeight w:hRule="exact" w:val="312"/>
        </w:trPr>
        <w:tc>
          <w:tcPr>
            <w:tcW w:w="2418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Hearing loss</w:t>
            </w:r>
          </w:p>
        </w:tc>
        <w:tc>
          <w:tcPr>
            <w:tcW w:w="987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15(11.9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104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34.2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39(27.5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1168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39(24.7)</w:t>
            </w:r>
          </w:p>
        </w:tc>
        <w:tc>
          <w:tcPr>
            <w:tcW w:w="943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52(21.8)</w:t>
            </w:r>
          </w:p>
        </w:tc>
        <w:tc>
          <w:tcPr>
            <w:tcW w:w="943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16(37.2)</w:t>
            </w:r>
          </w:p>
        </w:tc>
        <w:tc>
          <w:tcPr>
            <w:tcW w:w="966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28(42.4)</w:t>
            </w:r>
          </w:p>
        </w:tc>
        <w:tc>
          <w:tcPr>
            <w:tcW w:w="961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12(19.4)</w:t>
            </w:r>
          </w:p>
        </w:tc>
        <w:tc>
          <w:tcPr>
            <w:tcW w:w="902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29(25.9</w:t>
            </w:r>
            <w:r w:rsidRPr="00EB3C9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43" w:type="dxa"/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65(40.9)</w:t>
            </w:r>
          </w:p>
        </w:tc>
      </w:tr>
      <w:tr w:rsidR="003F26CC" w:rsidRPr="007173DD" w:rsidTr="007D3E66">
        <w:trPr>
          <w:trHeight w:hRule="exact" w:val="312"/>
        </w:trPr>
        <w:tc>
          <w:tcPr>
            <w:tcW w:w="2418" w:type="dxa"/>
            <w:tcBorders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lastRenderedPageBreak/>
              <w:t>Costochondritis</w:t>
            </w:r>
          </w:p>
        </w:tc>
        <w:tc>
          <w:tcPr>
            <w:tcW w:w="987" w:type="dxa"/>
            <w:tcBorders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7(5.6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993" w:type="dxa"/>
            <w:tcBorders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143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(4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7.0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850" w:type="dxa"/>
            <w:tcBorders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57 (40.1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1168" w:type="dxa"/>
            <w:tcBorders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23(14.6)</w:t>
            </w:r>
          </w:p>
        </w:tc>
        <w:tc>
          <w:tcPr>
            <w:tcW w:w="943" w:type="dxa"/>
            <w:tcBorders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43" w:type="dxa"/>
            <w:tcBorders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66" w:type="dxa"/>
            <w:tcBorders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61" w:type="dxa"/>
            <w:tcBorders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02" w:type="dxa"/>
            <w:tcBorders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43" w:type="dxa"/>
            <w:tcBorders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58(36.5)</w:t>
            </w:r>
          </w:p>
        </w:tc>
      </w:tr>
      <w:tr w:rsidR="003F26CC" w:rsidRPr="007173DD" w:rsidTr="007D3E66">
        <w:trPr>
          <w:trHeight w:hRule="exact" w:val="312"/>
        </w:trPr>
        <w:tc>
          <w:tcPr>
            <w:tcW w:w="2418" w:type="dxa"/>
            <w:tcBorders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Renal involvement</w:t>
            </w:r>
          </w:p>
        </w:tc>
        <w:tc>
          <w:tcPr>
            <w:tcW w:w="987" w:type="dxa"/>
            <w:tcBorders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0(0)</w:t>
            </w:r>
          </w:p>
        </w:tc>
        <w:tc>
          <w:tcPr>
            <w:tcW w:w="993" w:type="dxa"/>
            <w:tcBorders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850" w:type="dxa"/>
            <w:tcBorders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0(0)</w:t>
            </w:r>
          </w:p>
        </w:tc>
        <w:tc>
          <w:tcPr>
            <w:tcW w:w="1168" w:type="dxa"/>
            <w:tcBorders>
              <w:bottom w:val="nil"/>
            </w:tcBorders>
          </w:tcPr>
          <w:p w:rsidR="003F26CC" w:rsidRDefault="003F26CC" w:rsidP="007D3E66">
            <w:pPr>
              <w:autoSpaceDE w:val="0"/>
              <w:autoSpaceDN w:val="0"/>
              <w:adjustRightInd w:val="0"/>
              <w:spacing w:line="260" w:lineRule="atLeast"/>
              <w:rPr>
                <w:rFonts w:ascii="Times" w:hAnsi="Times" w:cs="Times"/>
                <w:color w:val="000000"/>
              </w:rPr>
            </w:pPr>
            <w:r>
              <w:rPr>
                <w:sz w:val="18"/>
                <w:szCs w:val="18"/>
              </w:rPr>
              <w:t>4/134(2.5)</w:t>
            </w:r>
            <w:r>
              <w:rPr>
                <w:rFonts w:ascii="Times" w:hAnsi="Times" w:cs="Times"/>
                <w:color w:val="1A1718"/>
                <w:sz w:val="21"/>
                <w:szCs w:val="21"/>
              </w:rPr>
              <w:t xml:space="preserve"> </w:t>
            </w:r>
            <w:r w:rsidRPr="005559A4">
              <w:rPr>
                <w:rFonts w:ascii="Times" w:hAnsi="Times" w:cs="Times"/>
                <w:color w:val="1A1718"/>
                <w:sz w:val="18"/>
                <w:szCs w:val="21"/>
              </w:rPr>
              <w:t>†</w:t>
            </w:r>
            <w:r>
              <w:rPr>
                <w:rFonts w:ascii="MS Mincho" w:eastAsia="MS Mincho" w:hAnsi="MS Mincho" w:cs="MS Mincho"/>
                <w:color w:val="1A1718"/>
                <w:sz w:val="21"/>
                <w:szCs w:val="21"/>
              </w:rPr>
              <w:t> </w:t>
            </w:r>
          </w:p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43" w:type="dxa"/>
            <w:tcBorders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16(6.7)</w:t>
            </w:r>
          </w:p>
        </w:tc>
        <w:tc>
          <w:tcPr>
            <w:tcW w:w="943" w:type="dxa"/>
            <w:tcBorders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1(2.3)</w:t>
            </w:r>
          </w:p>
        </w:tc>
        <w:tc>
          <w:tcPr>
            <w:tcW w:w="966" w:type="dxa"/>
            <w:tcBorders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61" w:type="dxa"/>
            <w:tcBorders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4(6.5)</w:t>
            </w:r>
          </w:p>
        </w:tc>
        <w:tc>
          <w:tcPr>
            <w:tcW w:w="902" w:type="dxa"/>
            <w:tcBorders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16(14.3)</w:t>
            </w:r>
          </w:p>
        </w:tc>
        <w:tc>
          <w:tcPr>
            <w:tcW w:w="943" w:type="dxa"/>
            <w:tcBorders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</w:tr>
      <w:tr w:rsidR="003F26CC" w:rsidRPr="007173DD" w:rsidTr="007D3E66">
        <w:trPr>
          <w:trHeight w:hRule="exact" w:val="312"/>
        </w:trPr>
        <w:tc>
          <w:tcPr>
            <w:tcW w:w="2418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Neurological involvement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 (4.8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17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11.9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1168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8/69(11.6)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23(9.6)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66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6(9.7)</w:t>
            </w:r>
          </w:p>
        </w:tc>
        <w:tc>
          <w:tcPr>
            <w:tcW w:w="902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5(3.1)</w:t>
            </w:r>
          </w:p>
        </w:tc>
      </w:tr>
      <w:tr w:rsidR="003F26CC" w:rsidRPr="007173DD" w:rsidTr="007D3E66">
        <w:trPr>
          <w:trHeight w:hRule="exact" w:val="312"/>
        </w:trPr>
        <w:tc>
          <w:tcPr>
            <w:tcW w:w="2418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Skin 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involvement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 (1.6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F26CC" w:rsidRPr="001A1FB1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A1F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40(28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  <w:r w:rsidRPr="001A1F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168" w:type="dxa"/>
            <w:tcBorders>
              <w:top w:val="nil"/>
              <w:bottom w:val="nil"/>
            </w:tcBorders>
          </w:tcPr>
          <w:p w:rsidR="003F26CC" w:rsidRPr="005559A4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17/37(45.9)</w:t>
            </w:r>
            <w:r>
              <w:rPr>
                <w:rFonts w:ascii="Times" w:hAnsi="Times" w:cs="Times"/>
                <w:color w:val="1A1718"/>
                <w:sz w:val="21"/>
                <w:szCs w:val="21"/>
              </w:rPr>
              <w:t>†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32(13.4)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66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25(37.9)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15(24.2)</w:t>
            </w:r>
          </w:p>
        </w:tc>
        <w:tc>
          <w:tcPr>
            <w:tcW w:w="902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31(27.7)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26(16.4)</w:t>
            </w:r>
          </w:p>
        </w:tc>
      </w:tr>
      <w:tr w:rsidR="003F26CC" w:rsidRPr="007173DD" w:rsidTr="007D3E66">
        <w:trPr>
          <w:trHeight w:hRule="exact" w:val="336"/>
        </w:trPr>
        <w:tc>
          <w:tcPr>
            <w:tcW w:w="2418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Valvulopathy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1(0.8)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F26CC" w:rsidRPr="001A1FB1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31(21.8</w:t>
            </w:r>
            <w:r w:rsidRPr="001A1F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168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3/98(3.1)</w:t>
            </w:r>
            <w:r>
              <w:rPr>
                <w:rFonts w:ascii="Times" w:hAnsi="Times" w:cs="Times"/>
                <w:color w:val="1A1718"/>
                <w:sz w:val="21"/>
                <w:szCs w:val="21"/>
              </w:rPr>
              <w:t>†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autoSpaceDE w:val="0"/>
              <w:autoSpaceDN w:val="0"/>
              <w:adjustRightInd w:val="0"/>
              <w:spacing w:line="260" w:lineRule="atLeast"/>
              <w:rPr>
                <w:rFonts w:ascii="Times" w:hAnsi="Times" w:cs="Times"/>
                <w:color w:val="000000"/>
              </w:rPr>
            </w:pPr>
            <w:r>
              <w:rPr>
                <w:sz w:val="18"/>
                <w:szCs w:val="18"/>
              </w:rPr>
              <w:t>5(2.1)^</w:t>
            </w:r>
            <w:r>
              <w:rPr>
                <w:rFonts w:ascii="Times" w:hAnsi="Times" w:cs="Times"/>
                <w:color w:val="1A1718"/>
                <w:sz w:val="21"/>
                <w:szCs w:val="21"/>
              </w:rPr>
              <w:t xml:space="preserve"> </w:t>
            </w:r>
          </w:p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66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5(7.6)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0(0)</w:t>
            </w:r>
          </w:p>
        </w:tc>
        <w:tc>
          <w:tcPr>
            <w:tcW w:w="902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7(6.3)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14(8.8)</w:t>
            </w:r>
          </w:p>
        </w:tc>
      </w:tr>
      <w:tr w:rsidR="003F26CC" w:rsidRPr="007173DD" w:rsidTr="007D3E66">
        <w:trPr>
          <w:trHeight w:hRule="exact" w:val="312"/>
        </w:trPr>
        <w:tc>
          <w:tcPr>
            <w:tcW w:w="2418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Arrhythmia 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(1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0.3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F26CC" w:rsidRPr="001A1FB1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A1F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13(9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  <w:r w:rsidRPr="001A1F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168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1/98(1.0)</w:t>
            </w:r>
            <w:r>
              <w:rPr>
                <w:rFonts w:ascii="Times" w:hAnsi="Times" w:cs="Times"/>
                <w:color w:val="1A1718"/>
                <w:sz w:val="21"/>
                <w:szCs w:val="21"/>
              </w:rPr>
              <w:t>†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Default="003F26CC" w:rsidP="007D3E66">
            <w:pPr>
              <w:autoSpaceDE w:val="0"/>
              <w:autoSpaceDN w:val="0"/>
              <w:adjustRightInd w:val="0"/>
              <w:spacing w:line="260" w:lineRule="atLeast"/>
              <w:rPr>
                <w:rFonts w:ascii="Times" w:hAnsi="Times" w:cs="Times"/>
                <w:color w:val="000000"/>
              </w:rPr>
            </w:pPr>
            <w:r>
              <w:rPr>
                <w:sz w:val="18"/>
                <w:szCs w:val="18"/>
              </w:rPr>
              <w:t xml:space="preserve">0(0) </w:t>
            </w:r>
            <w:r>
              <w:rPr>
                <w:rFonts w:ascii="Times" w:hAnsi="Times" w:cs="Times"/>
                <w:color w:val="1A1718"/>
                <w:sz w:val="18"/>
                <w:szCs w:val="21"/>
              </w:rPr>
              <w:t>^</w:t>
            </w:r>
          </w:p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66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2(3.2)</w:t>
            </w:r>
          </w:p>
        </w:tc>
        <w:tc>
          <w:tcPr>
            <w:tcW w:w="902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</w:tr>
      <w:tr w:rsidR="003F26CC" w:rsidRPr="007173DD" w:rsidTr="007D3E66">
        <w:trPr>
          <w:trHeight w:hRule="exact" w:val="289"/>
        </w:trPr>
        <w:tc>
          <w:tcPr>
            <w:tcW w:w="2418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ind w:leftChars="118" w:left="283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MDS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1(0.8</w:t>
            </w:r>
            <w:r w:rsidRPr="007173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F26CC" w:rsidRPr="001A1FB1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A1F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12(8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  <w:r w:rsidRPr="001A1F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168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0(0)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4(1.7)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66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4(6.5)</w:t>
            </w:r>
          </w:p>
        </w:tc>
        <w:tc>
          <w:tcPr>
            <w:tcW w:w="902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</w:tr>
      <w:tr w:rsidR="003F26CC" w:rsidRPr="007173DD" w:rsidTr="007D3E66">
        <w:trPr>
          <w:trHeight w:hRule="exact" w:val="294"/>
        </w:trPr>
        <w:tc>
          <w:tcPr>
            <w:tcW w:w="2418" w:type="dxa"/>
            <w:tcBorders>
              <w:top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  Autoimmune diseases</w:t>
            </w:r>
          </w:p>
        </w:tc>
        <w:tc>
          <w:tcPr>
            <w:tcW w:w="987" w:type="dxa"/>
            <w:tcBorders>
              <w:top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4(3.2%)</w:t>
            </w:r>
          </w:p>
        </w:tc>
        <w:tc>
          <w:tcPr>
            <w:tcW w:w="993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  <w:tc>
          <w:tcPr>
            <w:tcW w:w="850" w:type="dxa"/>
            <w:tcBorders>
              <w:top w:val="nil"/>
            </w:tcBorders>
          </w:tcPr>
          <w:p w:rsidR="003F26CC" w:rsidRPr="001A1FB1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31(21.8</w:t>
            </w:r>
            <w:r w:rsidRPr="001A1F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168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17(10.8)</w:t>
            </w:r>
          </w:p>
        </w:tc>
        <w:tc>
          <w:tcPr>
            <w:tcW w:w="943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11(4.6)</w:t>
            </w:r>
          </w:p>
        </w:tc>
        <w:tc>
          <w:tcPr>
            <w:tcW w:w="943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11(25.6)</w:t>
            </w:r>
          </w:p>
        </w:tc>
        <w:tc>
          <w:tcPr>
            <w:tcW w:w="966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13(19.7)</w:t>
            </w:r>
          </w:p>
        </w:tc>
        <w:tc>
          <w:tcPr>
            <w:tcW w:w="961" w:type="dxa"/>
            <w:tcBorders>
              <w:top w:val="nil"/>
            </w:tcBorders>
          </w:tcPr>
          <w:p w:rsidR="003F26CC" w:rsidRPr="007173DD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22(35.5)</w:t>
            </w:r>
          </w:p>
        </w:tc>
        <w:tc>
          <w:tcPr>
            <w:tcW w:w="902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38(33.9)</w:t>
            </w:r>
          </w:p>
        </w:tc>
        <w:tc>
          <w:tcPr>
            <w:tcW w:w="943" w:type="dxa"/>
            <w:tcBorders>
              <w:top w:val="nil"/>
            </w:tcBorders>
          </w:tcPr>
          <w:p w:rsidR="003F26CC" w:rsidRDefault="003F26CC" w:rsidP="007D3E66">
            <w:pPr>
              <w:pStyle w:val="2A"/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NA</w:t>
            </w:r>
          </w:p>
        </w:tc>
      </w:tr>
    </w:tbl>
    <w:p w:rsidR="003F26CC" w:rsidRDefault="003F26CC" w:rsidP="003F26CC"/>
    <w:p w:rsidR="003F26CC" w:rsidRDefault="003F26CC" w:rsidP="003F26CC"/>
    <w:p w:rsidR="003F26CC" w:rsidRDefault="003F26CC" w:rsidP="003F26CC"/>
    <w:p w:rsidR="003F26CC" w:rsidRDefault="003F26CC" w:rsidP="003F26CC"/>
    <w:p w:rsidR="003F26CC" w:rsidRDefault="003F26CC" w:rsidP="003F26CC"/>
    <w:p w:rsidR="003F26CC" w:rsidRDefault="003F26CC" w:rsidP="003F26CC"/>
    <w:p w:rsidR="003F26CC" w:rsidRPr="00B867F7" w:rsidRDefault="003F26CC" w:rsidP="003F26CC">
      <w:pPr>
        <w:spacing w:line="300" w:lineRule="exact"/>
        <w:rPr>
          <w:sz w:val="22"/>
          <w:szCs w:val="22"/>
        </w:rPr>
      </w:pPr>
      <w:r w:rsidRPr="00B867F7">
        <w:rPr>
          <w:sz w:val="22"/>
          <w:szCs w:val="22"/>
        </w:rPr>
        <w:t>Data are presented as n(%).</w:t>
      </w:r>
      <w:r>
        <w:rPr>
          <w:sz w:val="18"/>
          <w:szCs w:val="18"/>
        </w:rPr>
        <w:t>Retro, retrospective; Liter, literature review; NA, not available.</w:t>
      </w:r>
    </w:p>
    <w:p w:rsidR="003F26CC" w:rsidRPr="00B867F7" w:rsidRDefault="003F26CC" w:rsidP="003F26CC">
      <w:pPr>
        <w:spacing w:line="300" w:lineRule="exact"/>
        <w:rPr>
          <w:sz w:val="22"/>
          <w:szCs w:val="22"/>
        </w:rPr>
      </w:pPr>
      <w:r w:rsidRPr="00B867F7">
        <w:rPr>
          <w:sz w:val="22"/>
          <w:szCs w:val="22"/>
        </w:rPr>
        <w:t xml:space="preserve">a A retrospective review of RP patients in one medical center in south China and cases reported in Chinese literatures. </w:t>
      </w:r>
    </w:p>
    <w:p w:rsidR="003F26CC" w:rsidRPr="00B867F7" w:rsidRDefault="003F26CC" w:rsidP="003F26CC">
      <w:pPr>
        <w:spacing w:line="300" w:lineRule="exact"/>
        <w:rPr>
          <w:sz w:val="22"/>
          <w:szCs w:val="22"/>
        </w:rPr>
      </w:pPr>
      <w:r w:rsidRPr="00B867F7">
        <w:rPr>
          <w:sz w:val="22"/>
          <w:szCs w:val="22"/>
          <w:vertAlign w:val="superscript"/>
        </w:rPr>
        <w:t xml:space="preserve">c </w:t>
      </w:r>
      <w:r w:rsidRPr="00B867F7">
        <w:rPr>
          <w:sz w:val="22"/>
          <w:szCs w:val="22"/>
        </w:rPr>
        <w:t>Among 159 patients, 23 were followed up in the author’s center, the remaining 136 patients were cited from literature.</w:t>
      </w:r>
    </w:p>
    <w:p w:rsidR="003F26CC" w:rsidRPr="00B867F7" w:rsidRDefault="003F26CC" w:rsidP="003F26CC">
      <w:pPr>
        <w:spacing w:line="300" w:lineRule="exact"/>
        <w:rPr>
          <w:sz w:val="22"/>
          <w:szCs w:val="22"/>
        </w:rPr>
      </w:pPr>
      <w:r w:rsidRPr="00B867F7">
        <w:rPr>
          <w:sz w:val="22"/>
          <w:szCs w:val="22"/>
        </w:rPr>
        <w:t xml:space="preserve">*Median age at diagnosis. </w:t>
      </w:r>
    </w:p>
    <w:p w:rsidR="003F26CC" w:rsidRPr="00B867F7" w:rsidRDefault="003F26CC" w:rsidP="003F26CC">
      <w:pPr>
        <w:spacing w:line="300" w:lineRule="exact"/>
        <w:rPr>
          <w:rFonts w:ascii="Times" w:hAnsi="Times" w:cs="Times"/>
          <w:color w:val="000000"/>
          <w:sz w:val="22"/>
          <w:szCs w:val="22"/>
        </w:rPr>
      </w:pPr>
      <w:r w:rsidRPr="00B867F7">
        <w:rPr>
          <w:sz w:val="22"/>
          <w:szCs w:val="22"/>
        </w:rPr>
        <w:t>**Mean delay.</w:t>
      </w:r>
      <w:r w:rsidRPr="00B867F7">
        <w:rPr>
          <w:rFonts w:ascii="Times" w:hAnsi="Times" w:cs="Times"/>
          <w:color w:val="000000"/>
          <w:sz w:val="22"/>
          <w:szCs w:val="22"/>
        </w:rPr>
        <w:t xml:space="preserve"> </w:t>
      </w:r>
    </w:p>
    <w:p w:rsidR="003F26CC" w:rsidRPr="00B867F7" w:rsidRDefault="003F26CC" w:rsidP="003F26CC">
      <w:pPr>
        <w:spacing w:line="300" w:lineRule="exact"/>
        <w:rPr>
          <w:sz w:val="22"/>
          <w:szCs w:val="22"/>
        </w:rPr>
      </w:pPr>
      <w:r w:rsidRPr="00B867F7">
        <w:rPr>
          <w:rFonts w:ascii="Times" w:hAnsi="Times" w:cs="Times"/>
          <w:color w:val="000000"/>
          <w:sz w:val="22"/>
          <w:szCs w:val="22"/>
        </w:rPr>
        <w:t xml:space="preserve">! </w:t>
      </w:r>
      <w:r w:rsidRPr="00B867F7">
        <w:rPr>
          <w:sz w:val="22"/>
          <w:szCs w:val="22"/>
        </w:rPr>
        <w:t>Mean follow-up duration.</w:t>
      </w:r>
    </w:p>
    <w:p w:rsidR="003F26CC" w:rsidRPr="00B867F7" w:rsidRDefault="003F26CC" w:rsidP="003F26CC">
      <w:pPr>
        <w:spacing w:line="300" w:lineRule="exact"/>
        <w:rPr>
          <w:sz w:val="22"/>
          <w:szCs w:val="22"/>
        </w:rPr>
      </w:pPr>
      <w:r w:rsidRPr="00B867F7">
        <w:rPr>
          <w:sz w:val="22"/>
          <w:szCs w:val="22"/>
        </w:rPr>
        <w:t># Sixty-four percent presented symptoms for more than 5 years before diagnosis.</w:t>
      </w:r>
    </w:p>
    <w:p w:rsidR="003F26CC" w:rsidRPr="00B867F7" w:rsidRDefault="003F26CC" w:rsidP="003F26CC">
      <w:pPr>
        <w:autoSpaceDE w:val="0"/>
        <w:autoSpaceDN w:val="0"/>
        <w:adjustRightInd w:val="0"/>
        <w:spacing w:after="240" w:line="300" w:lineRule="exact"/>
        <w:rPr>
          <w:sz w:val="22"/>
          <w:szCs w:val="22"/>
        </w:rPr>
      </w:pPr>
      <w:r w:rsidRPr="00B867F7">
        <w:rPr>
          <w:rFonts w:ascii="Times" w:hAnsi="Times" w:cs="Times"/>
          <w:color w:val="1A1718"/>
          <w:sz w:val="22"/>
          <w:szCs w:val="22"/>
        </w:rPr>
        <w:t>¶</w:t>
      </w:r>
      <w:r w:rsidRPr="00B867F7">
        <w:rPr>
          <w:sz w:val="22"/>
          <w:szCs w:val="22"/>
        </w:rPr>
        <w:t xml:space="preserve"> Laryngotracheal involvement was seen in 60 patients (47.7%),</w:t>
      </w:r>
      <w:r w:rsidRPr="00B867F7">
        <w:rPr>
          <w:rFonts w:hint="eastAsia"/>
          <w:sz w:val="22"/>
          <w:szCs w:val="22"/>
        </w:rPr>
        <w:t xml:space="preserve"> indi</w:t>
      </w:r>
      <w:r w:rsidRPr="00B867F7">
        <w:rPr>
          <w:sz w:val="22"/>
          <w:szCs w:val="22"/>
        </w:rPr>
        <w:t>cating 10 patients presented both laryngeal and tracheobronchial involvement.</w:t>
      </w:r>
    </w:p>
    <w:p w:rsidR="003F26CC" w:rsidRPr="00B867F7" w:rsidRDefault="003F26CC" w:rsidP="003F26CC">
      <w:pPr>
        <w:autoSpaceDE w:val="0"/>
        <w:autoSpaceDN w:val="0"/>
        <w:adjustRightInd w:val="0"/>
        <w:spacing w:after="240" w:line="300" w:lineRule="exact"/>
        <w:rPr>
          <w:rFonts w:ascii="Times" w:hAnsi="Times" w:cs="Times"/>
          <w:color w:val="1A1718"/>
          <w:sz w:val="22"/>
          <w:szCs w:val="22"/>
        </w:rPr>
      </w:pPr>
      <w:r w:rsidRPr="00B867F7">
        <w:rPr>
          <w:rFonts w:ascii="Times" w:hAnsi="Times" w:cs="Times"/>
          <w:color w:val="1A1718"/>
          <w:sz w:val="22"/>
          <w:szCs w:val="22"/>
        </w:rPr>
        <w:t xml:space="preserve">§ </w:t>
      </w:r>
      <w:r w:rsidRPr="00B867F7">
        <w:rPr>
          <w:sz w:val="22"/>
          <w:szCs w:val="22"/>
        </w:rPr>
        <w:t>Laryngotracheal involvement was seen in 71 patients (50%),</w:t>
      </w:r>
      <w:r w:rsidRPr="00B867F7">
        <w:rPr>
          <w:rFonts w:hint="eastAsia"/>
          <w:sz w:val="22"/>
          <w:szCs w:val="22"/>
        </w:rPr>
        <w:t xml:space="preserve"> indi</w:t>
      </w:r>
      <w:r w:rsidRPr="00B867F7">
        <w:rPr>
          <w:sz w:val="22"/>
          <w:szCs w:val="22"/>
        </w:rPr>
        <w:t>cating 22 patients presented both laryngeal and tracheobronchial involvement.</w:t>
      </w:r>
      <w:r w:rsidRPr="00B867F7">
        <w:rPr>
          <w:rFonts w:ascii="Times" w:hAnsi="Times" w:cs="Times"/>
          <w:color w:val="1A1718"/>
          <w:sz w:val="22"/>
          <w:szCs w:val="22"/>
        </w:rPr>
        <w:t xml:space="preserve"> </w:t>
      </w:r>
    </w:p>
    <w:p w:rsidR="003F26CC" w:rsidRPr="00B867F7" w:rsidRDefault="003F26CC" w:rsidP="003F26CC">
      <w:pPr>
        <w:autoSpaceDE w:val="0"/>
        <w:autoSpaceDN w:val="0"/>
        <w:adjustRightInd w:val="0"/>
        <w:spacing w:after="240" w:line="300" w:lineRule="exact"/>
        <w:rPr>
          <w:sz w:val="22"/>
          <w:szCs w:val="22"/>
        </w:rPr>
      </w:pPr>
      <w:r w:rsidRPr="00B867F7">
        <w:rPr>
          <w:rFonts w:ascii="Times" w:hAnsi="Times" w:cs="Times"/>
          <w:color w:val="1A1718"/>
          <w:sz w:val="22"/>
          <w:szCs w:val="22"/>
        </w:rPr>
        <w:t>‡</w:t>
      </w:r>
      <w:r>
        <w:rPr>
          <w:rFonts w:ascii="MS Mincho" w:eastAsia="MS Mincho" w:hAnsi="MS Mincho" w:cs="MS Mincho"/>
          <w:color w:val="1A1718"/>
          <w:sz w:val="22"/>
          <w:szCs w:val="22"/>
        </w:rPr>
        <w:t xml:space="preserve"> </w:t>
      </w:r>
      <w:r w:rsidRPr="00B867F7">
        <w:rPr>
          <w:sz w:val="22"/>
          <w:szCs w:val="22"/>
        </w:rPr>
        <w:t>Laryngotracheal involvement in 11</w:t>
      </w:r>
      <w:r w:rsidRPr="00B867F7">
        <w:rPr>
          <w:rFonts w:hint="eastAsia"/>
          <w:sz w:val="22"/>
          <w:szCs w:val="22"/>
        </w:rPr>
        <w:t>9</w:t>
      </w:r>
      <w:r w:rsidRPr="00B867F7">
        <w:rPr>
          <w:sz w:val="22"/>
          <w:szCs w:val="22"/>
        </w:rPr>
        <w:t xml:space="preserve"> patients(50%)，</w:t>
      </w:r>
      <w:r w:rsidRPr="00B867F7">
        <w:rPr>
          <w:rFonts w:hint="eastAsia"/>
          <w:sz w:val="22"/>
          <w:szCs w:val="22"/>
        </w:rPr>
        <w:t>indi</w:t>
      </w:r>
      <w:r w:rsidRPr="00B867F7">
        <w:rPr>
          <w:sz w:val="22"/>
          <w:szCs w:val="22"/>
        </w:rPr>
        <w:t>cating 35 patients presented both laryngeal and tracheobronchial</w:t>
      </w:r>
    </w:p>
    <w:p w:rsidR="003F26CC" w:rsidRPr="00B867F7" w:rsidRDefault="003F26CC" w:rsidP="003F26CC">
      <w:pPr>
        <w:spacing w:line="300" w:lineRule="exact"/>
        <w:rPr>
          <w:sz w:val="22"/>
          <w:szCs w:val="22"/>
        </w:rPr>
      </w:pPr>
      <w:r w:rsidRPr="00B867F7">
        <w:rPr>
          <w:rFonts w:ascii="Times" w:hAnsi="Times" w:cs="Times"/>
          <w:color w:val="1A1718"/>
          <w:sz w:val="22"/>
          <w:szCs w:val="22"/>
        </w:rPr>
        <w:t>†</w:t>
      </w:r>
      <w:r>
        <w:rPr>
          <w:rFonts w:ascii="MS Mincho" w:eastAsia="MS Mincho" w:hAnsi="MS Mincho" w:cs="MS Mincho"/>
          <w:color w:val="1A1718"/>
          <w:sz w:val="22"/>
          <w:szCs w:val="22"/>
        </w:rPr>
        <w:t xml:space="preserve"> </w:t>
      </w:r>
      <w:r w:rsidRPr="00B867F7">
        <w:rPr>
          <w:sz w:val="22"/>
          <w:szCs w:val="22"/>
        </w:rPr>
        <w:t>Denominator represents the total number in the category where datas were missing.</w:t>
      </w:r>
    </w:p>
    <w:p w:rsidR="003F26CC" w:rsidRPr="00B867F7" w:rsidRDefault="003F26CC" w:rsidP="003F26CC">
      <w:pPr>
        <w:spacing w:line="300" w:lineRule="exact"/>
        <w:rPr>
          <w:sz w:val="22"/>
          <w:szCs w:val="22"/>
        </w:rPr>
      </w:pPr>
      <w:r w:rsidRPr="00B867F7">
        <w:rPr>
          <w:rFonts w:ascii="Times" w:hAnsi="Times" w:cs="Times"/>
          <w:color w:val="1A1718"/>
          <w:sz w:val="22"/>
          <w:szCs w:val="22"/>
        </w:rPr>
        <w:t>#</w:t>
      </w:r>
      <w:r>
        <w:rPr>
          <w:rFonts w:ascii="Times" w:hAnsi="Times" w:cs="Times"/>
          <w:color w:val="1A1718"/>
          <w:sz w:val="22"/>
          <w:szCs w:val="22"/>
        </w:rPr>
        <w:t xml:space="preserve"> </w:t>
      </w:r>
      <w:r w:rsidRPr="00B867F7">
        <w:rPr>
          <w:sz w:val="22"/>
          <w:szCs w:val="22"/>
        </w:rPr>
        <w:t>Mean age of 106 cases at diagnosis was 52.6 years.</w:t>
      </w:r>
    </w:p>
    <w:p w:rsidR="003F26CC" w:rsidRPr="00B867F7" w:rsidRDefault="003F26CC" w:rsidP="003F26CC">
      <w:pPr>
        <w:autoSpaceDE w:val="0"/>
        <w:autoSpaceDN w:val="0"/>
        <w:adjustRightInd w:val="0"/>
        <w:spacing w:after="240" w:line="300" w:lineRule="exact"/>
        <w:rPr>
          <w:sz w:val="22"/>
          <w:szCs w:val="22"/>
        </w:rPr>
      </w:pPr>
      <w:r w:rsidRPr="00B867F7">
        <w:rPr>
          <w:sz w:val="22"/>
          <w:szCs w:val="22"/>
        </w:rPr>
        <w:t>^Data were extracted from another study</w:t>
      </w:r>
      <w:r>
        <w:rPr>
          <w:sz w:val="22"/>
          <w:szCs w:val="22"/>
        </w:rPr>
        <w:t xml:space="preserve"> conducted by the same authors</w:t>
      </w:r>
      <w:r>
        <w:rPr>
          <w:noProof/>
          <w:sz w:val="22"/>
          <w:szCs w:val="22"/>
        </w:rPr>
        <w:t>[10]</w:t>
      </w:r>
      <w:r w:rsidRPr="00B867F7">
        <w:rPr>
          <w:sz w:val="22"/>
          <w:szCs w:val="22"/>
        </w:rPr>
        <w:t>.</w:t>
      </w:r>
    </w:p>
    <w:p w:rsidR="003F26CC" w:rsidRPr="00B867F7" w:rsidRDefault="003F26CC" w:rsidP="003F26CC">
      <w:pPr>
        <w:autoSpaceDE w:val="0"/>
        <w:autoSpaceDN w:val="0"/>
        <w:adjustRightInd w:val="0"/>
        <w:spacing w:after="240" w:line="260" w:lineRule="atLeast"/>
        <w:rPr>
          <w:rFonts w:ascii="Times" w:hAnsi="Times" w:cs="Times"/>
          <w:color w:val="000000"/>
          <w:sz w:val="22"/>
          <w:szCs w:val="22"/>
        </w:rPr>
      </w:pPr>
    </w:p>
    <w:p w:rsidR="003F26CC" w:rsidRPr="00F62113" w:rsidRDefault="003F26CC" w:rsidP="003F26CC">
      <w:pPr>
        <w:pStyle w:val="EndNoteBibliography"/>
        <w:ind w:left="720" w:hanging="720"/>
        <w:rPr>
          <w:sz w:val="21"/>
          <w:szCs w:val="21"/>
        </w:rPr>
      </w:pPr>
      <w:r w:rsidRPr="00F62113">
        <w:rPr>
          <w:sz w:val="21"/>
          <w:szCs w:val="21"/>
        </w:rPr>
        <w:lastRenderedPageBreak/>
        <w:t>1.</w:t>
      </w:r>
      <w:r w:rsidRPr="00F62113">
        <w:rPr>
          <w:sz w:val="21"/>
          <w:szCs w:val="21"/>
        </w:rPr>
        <w:tab/>
        <w:t xml:space="preserve">Ferrada MA, Grayson PC, Banerjee S, K AS, R AC, Sinaii N, Katz JD: Patient Perception of Disease-Related Symptoms and Complications in Relapsing Polychondritis. </w:t>
      </w:r>
      <w:r w:rsidRPr="00F62113">
        <w:rPr>
          <w:i/>
          <w:sz w:val="21"/>
          <w:szCs w:val="21"/>
        </w:rPr>
        <w:t xml:space="preserve">Arthritis Care Res (Hoboken) </w:t>
      </w:r>
      <w:r w:rsidRPr="00F62113">
        <w:rPr>
          <w:sz w:val="21"/>
          <w:szCs w:val="21"/>
        </w:rPr>
        <w:t>2018, 70(8):1124-1131.</w:t>
      </w:r>
    </w:p>
    <w:p w:rsidR="003F26CC" w:rsidRPr="00F62113" w:rsidRDefault="003F26CC" w:rsidP="003F26CC">
      <w:pPr>
        <w:pStyle w:val="EndNoteBibliography"/>
        <w:ind w:left="720" w:hanging="720"/>
        <w:rPr>
          <w:sz w:val="21"/>
          <w:szCs w:val="21"/>
        </w:rPr>
      </w:pPr>
      <w:r w:rsidRPr="00F62113">
        <w:rPr>
          <w:sz w:val="21"/>
          <w:szCs w:val="21"/>
        </w:rPr>
        <w:t>2.</w:t>
      </w:r>
      <w:r w:rsidRPr="00F62113">
        <w:rPr>
          <w:sz w:val="21"/>
          <w:szCs w:val="21"/>
        </w:rPr>
        <w:tab/>
        <w:t xml:space="preserve">Dion J, Costedoat-Chalumeau N, Sene D, Cohen-Bittan J, Leroux G, Dion C, Frances C, Piette JC: Relapsing Polychondritis Can Be Characterized by Three Different Clinical Phenotypes: Analysis of a Recent Series of 142 Patients. </w:t>
      </w:r>
      <w:r w:rsidRPr="00F62113">
        <w:rPr>
          <w:i/>
          <w:sz w:val="21"/>
          <w:szCs w:val="21"/>
        </w:rPr>
        <w:t xml:space="preserve">Arthritis Rheumatol </w:t>
      </w:r>
      <w:r w:rsidRPr="00F62113">
        <w:rPr>
          <w:sz w:val="21"/>
          <w:szCs w:val="21"/>
        </w:rPr>
        <w:t>2016, 68(12):2992-3001.</w:t>
      </w:r>
    </w:p>
    <w:p w:rsidR="003F26CC" w:rsidRPr="00F62113" w:rsidRDefault="003F26CC" w:rsidP="003F26CC">
      <w:pPr>
        <w:pStyle w:val="EndNoteBibliography"/>
        <w:ind w:left="720" w:hanging="720"/>
        <w:rPr>
          <w:sz w:val="21"/>
          <w:szCs w:val="21"/>
        </w:rPr>
      </w:pPr>
      <w:r w:rsidRPr="00F62113">
        <w:rPr>
          <w:sz w:val="21"/>
          <w:szCs w:val="21"/>
        </w:rPr>
        <w:t>3.</w:t>
      </w:r>
      <w:r w:rsidRPr="00F62113">
        <w:rPr>
          <w:sz w:val="21"/>
          <w:szCs w:val="21"/>
        </w:rPr>
        <w:tab/>
        <w:t xml:space="preserve">Lin D-F, Yang W-Q, Zhang P-P, Lv Q, Jin O, Gu J-R: Clinical and prognostic characteristics of 158 cases of relapsing polychondritis in China and review of the literature. </w:t>
      </w:r>
      <w:r w:rsidRPr="00F62113">
        <w:rPr>
          <w:i/>
          <w:sz w:val="21"/>
          <w:szCs w:val="21"/>
        </w:rPr>
        <w:t xml:space="preserve">Rheumatology International </w:t>
      </w:r>
      <w:r w:rsidRPr="00F62113">
        <w:rPr>
          <w:sz w:val="21"/>
          <w:szCs w:val="21"/>
        </w:rPr>
        <w:t>2016, 36(7):1003-1009.</w:t>
      </w:r>
    </w:p>
    <w:p w:rsidR="003F26CC" w:rsidRPr="00F62113" w:rsidRDefault="003F26CC" w:rsidP="003F26CC">
      <w:pPr>
        <w:pStyle w:val="EndNoteBibliography"/>
        <w:ind w:left="720" w:hanging="720"/>
        <w:rPr>
          <w:sz w:val="21"/>
          <w:szCs w:val="21"/>
        </w:rPr>
      </w:pPr>
      <w:r w:rsidRPr="00F62113">
        <w:rPr>
          <w:sz w:val="21"/>
          <w:szCs w:val="21"/>
        </w:rPr>
        <w:t>4.</w:t>
      </w:r>
      <w:r w:rsidRPr="00F62113">
        <w:rPr>
          <w:sz w:val="21"/>
          <w:szCs w:val="21"/>
        </w:rPr>
        <w:tab/>
        <w:t>Oka H, Yamano Y, Shimizu J, Yudoh K, Suzuki N. A large-scale survey of patients with relapsing polychondritis in Japan. Inflamm Regen 2014;34:149–56.</w:t>
      </w:r>
    </w:p>
    <w:p w:rsidR="003F26CC" w:rsidRPr="00F62113" w:rsidRDefault="003F26CC" w:rsidP="003F26CC">
      <w:pPr>
        <w:pStyle w:val="EndNoteBibliography"/>
        <w:ind w:left="720" w:hanging="720"/>
        <w:rPr>
          <w:sz w:val="21"/>
          <w:szCs w:val="21"/>
        </w:rPr>
      </w:pPr>
      <w:r w:rsidRPr="00F62113">
        <w:rPr>
          <w:sz w:val="21"/>
          <w:szCs w:val="21"/>
        </w:rPr>
        <w:t>5.</w:t>
      </w:r>
      <w:r w:rsidRPr="00F62113">
        <w:rPr>
          <w:sz w:val="21"/>
          <w:szCs w:val="21"/>
        </w:rPr>
        <w:tab/>
        <w:t xml:space="preserve">Mathew SD, Battafarano DF, Morris MJ: Relapsing polychondritis in the Department of Defense population and review of the literature. </w:t>
      </w:r>
      <w:r w:rsidRPr="00F62113">
        <w:rPr>
          <w:i/>
          <w:sz w:val="21"/>
          <w:szCs w:val="21"/>
        </w:rPr>
        <w:t xml:space="preserve">Semin Arthritis Rheum </w:t>
      </w:r>
      <w:r w:rsidRPr="00F62113">
        <w:rPr>
          <w:sz w:val="21"/>
          <w:szCs w:val="21"/>
        </w:rPr>
        <w:t>2012, 42(1):70-83.</w:t>
      </w:r>
    </w:p>
    <w:p w:rsidR="003F26CC" w:rsidRPr="00F62113" w:rsidRDefault="003F26CC" w:rsidP="003F26CC">
      <w:pPr>
        <w:pStyle w:val="EndNoteBibliography"/>
        <w:ind w:left="720" w:hanging="720"/>
        <w:rPr>
          <w:sz w:val="21"/>
          <w:szCs w:val="21"/>
        </w:rPr>
      </w:pPr>
      <w:r w:rsidRPr="00F62113">
        <w:rPr>
          <w:sz w:val="21"/>
          <w:szCs w:val="21"/>
        </w:rPr>
        <w:t>6.</w:t>
      </w:r>
      <w:r w:rsidRPr="00F62113">
        <w:rPr>
          <w:sz w:val="21"/>
          <w:szCs w:val="21"/>
        </w:rPr>
        <w:tab/>
        <w:t xml:space="preserve">Trentham DE, Le CH: Relapsing polychondritis. </w:t>
      </w:r>
      <w:r w:rsidRPr="00F62113">
        <w:rPr>
          <w:i/>
          <w:sz w:val="21"/>
          <w:szCs w:val="21"/>
        </w:rPr>
        <w:t xml:space="preserve">Ann Intern Med </w:t>
      </w:r>
      <w:r w:rsidRPr="00F62113">
        <w:rPr>
          <w:sz w:val="21"/>
          <w:szCs w:val="21"/>
        </w:rPr>
        <w:t>1998, 129(2):114-122.</w:t>
      </w:r>
    </w:p>
    <w:p w:rsidR="003F26CC" w:rsidRPr="00F62113" w:rsidRDefault="003F26CC" w:rsidP="003F26CC">
      <w:pPr>
        <w:pStyle w:val="EndNoteBibliography"/>
        <w:ind w:left="720" w:hanging="720"/>
        <w:rPr>
          <w:sz w:val="21"/>
          <w:szCs w:val="21"/>
        </w:rPr>
      </w:pPr>
      <w:r w:rsidRPr="00F62113">
        <w:rPr>
          <w:sz w:val="21"/>
          <w:szCs w:val="21"/>
        </w:rPr>
        <w:t>7.</w:t>
      </w:r>
      <w:r w:rsidRPr="00F62113">
        <w:rPr>
          <w:sz w:val="21"/>
          <w:szCs w:val="21"/>
        </w:rPr>
        <w:tab/>
        <w:t xml:space="preserve">Zeuner M, Straub RH, Rauh G, Albert ED, Scholmerich J, Lang B: Relapsing polychondritis: clinical and immunogenetic analysis of 62 patients. </w:t>
      </w:r>
      <w:r w:rsidRPr="00F62113">
        <w:rPr>
          <w:i/>
          <w:sz w:val="21"/>
          <w:szCs w:val="21"/>
        </w:rPr>
        <w:t xml:space="preserve">J Rheumatol </w:t>
      </w:r>
      <w:r w:rsidRPr="00F62113">
        <w:rPr>
          <w:sz w:val="21"/>
          <w:szCs w:val="21"/>
        </w:rPr>
        <w:t>1997, 24(1):96-101.</w:t>
      </w:r>
    </w:p>
    <w:p w:rsidR="003F26CC" w:rsidRPr="00F62113" w:rsidRDefault="003F26CC" w:rsidP="003F26CC">
      <w:pPr>
        <w:pStyle w:val="EndNoteBibliography"/>
        <w:ind w:left="720" w:hanging="720"/>
        <w:rPr>
          <w:sz w:val="21"/>
          <w:szCs w:val="21"/>
        </w:rPr>
      </w:pPr>
      <w:r w:rsidRPr="00F62113">
        <w:rPr>
          <w:sz w:val="21"/>
          <w:szCs w:val="21"/>
        </w:rPr>
        <w:t>8.</w:t>
      </w:r>
      <w:r w:rsidRPr="00F62113">
        <w:rPr>
          <w:sz w:val="21"/>
          <w:szCs w:val="21"/>
        </w:rPr>
        <w:tab/>
        <w:t xml:space="preserve">Michet CJ, Jr., McKenna CH, Luthra HS, O'Fallon WM: Relapsing polychondritis. Survival and predictive role of early disease manifestations. </w:t>
      </w:r>
      <w:r w:rsidRPr="00F62113">
        <w:rPr>
          <w:i/>
          <w:sz w:val="21"/>
          <w:szCs w:val="21"/>
        </w:rPr>
        <w:t xml:space="preserve">Ann Intern Med </w:t>
      </w:r>
      <w:r w:rsidRPr="00F62113">
        <w:rPr>
          <w:sz w:val="21"/>
          <w:szCs w:val="21"/>
        </w:rPr>
        <w:t>1986, 104(1):74-78.</w:t>
      </w:r>
    </w:p>
    <w:p w:rsidR="003F26CC" w:rsidRPr="00F62113" w:rsidRDefault="003F26CC" w:rsidP="003F26CC">
      <w:pPr>
        <w:pStyle w:val="EndNoteBibliography"/>
        <w:ind w:left="720" w:hanging="720"/>
        <w:rPr>
          <w:sz w:val="21"/>
          <w:szCs w:val="21"/>
        </w:rPr>
      </w:pPr>
      <w:r w:rsidRPr="00F62113">
        <w:rPr>
          <w:sz w:val="21"/>
          <w:szCs w:val="21"/>
        </w:rPr>
        <w:t>9.</w:t>
      </w:r>
      <w:r w:rsidRPr="00F62113">
        <w:rPr>
          <w:sz w:val="21"/>
          <w:szCs w:val="21"/>
        </w:rPr>
        <w:tab/>
        <w:t xml:space="preserve">McAdam LP, O'Hanlan MA, Bluestone R, Pearson CM: Relapsing polychondritis: prospective study of 23 patients and a review of the literature. </w:t>
      </w:r>
      <w:r w:rsidRPr="00F62113">
        <w:rPr>
          <w:i/>
          <w:sz w:val="21"/>
          <w:szCs w:val="21"/>
        </w:rPr>
        <w:t xml:space="preserve">Medicine (Baltimore) </w:t>
      </w:r>
      <w:r w:rsidRPr="00F62113">
        <w:rPr>
          <w:sz w:val="21"/>
          <w:szCs w:val="21"/>
        </w:rPr>
        <w:t>1976, 55(3):193-215.</w:t>
      </w:r>
    </w:p>
    <w:p w:rsidR="003F26CC" w:rsidRPr="00F62113" w:rsidRDefault="003F26CC" w:rsidP="003F26CC">
      <w:pPr>
        <w:pStyle w:val="EndNoteBibliography"/>
        <w:ind w:left="720" w:hanging="720"/>
        <w:rPr>
          <w:sz w:val="21"/>
          <w:szCs w:val="21"/>
        </w:rPr>
      </w:pPr>
      <w:r w:rsidRPr="00F62113">
        <w:rPr>
          <w:sz w:val="21"/>
          <w:szCs w:val="21"/>
        </w:rPr>
        <w:t>10.</w:t>
      </w:r>
      <w:r w:rsidRPr="00F62113">
        <w:rPr>
          <w:sz w:val="21"/>
          <w:szCs w:val="21"/>
        </w:rPr>
        <w:tab/>
        <w:t xml:space="preserve">Shimizu J, Oka H, Yamano Y, Yudoh K, Suzuki N: Cardiac involvement in relapsing polychondritis in Japan. </w:t>
      </w:r>
      <w:r w:rsidRPr="00F62113">
        <w:rPr>
          <w:i/>
          <w:sz w:val="21"/>
          <w:szCs w:val="21"/>
        </w:rPr>
        <w:t xml:space="preserve">Rheumatology (Oxford) </w:t>
      </w:r>
      <w:r w:rsidRPr="00F62113">
        <w:rPr>
          <w:sz w:val="21"/>
          <w:szCs w:val="21"/>
        </w:rPr>
        <w:t>2016, 55(3):583-584.</w:t>
      </w:r>
    </w:p>
    <w:p w:rsidR="003F26CC" w:rsidRPr="00F62113" w:rsidRDefault="003F26CC" w:rsidP="003F26CC">
      <w:pPr>
        <w:rPr>
          <w:sz w:val="21"/>
          <w:szCs w:val="21"/>
        </w:rPr>
      </w:pPr>
    </w:p>
    <w:p w:rsidR="003F26CC" w:rsidRPr="00F62113" w:rsidRDefault="003F26CC" w:rsidP="003F26CC">
      <w:pPr>
        <w:rPr>
          <w:sz w:val="21"/>
          <w:szCs w:val="21"/>
        </w:rPr>
      </w:pPr>
    </w:p>
    <w:p w:rsidR="003F26CC" w:rsidRPr="00D43325" w:rsidRDefault="003F26CC" w:rsidP="003F26CC"/>
    <w:p w:rsidR="003517B1" w:rsidRDefault="003517B1">
      <w:bookmarkStart w:id="0" w:name="_GoBack"/>
      <w:bookmarkEnd w:id="0"/>
    </w:p>
    <w:sectPr w:rsidR="003517B1" w:rsidSect="002C24C7">
      <w:footerReference w:type="default" r:id="rId5"/>
      <w:pgSz w:w="16840" w:h="11900" w:orient="landscape"/>
      <w:pgMar w:top="1800" w:right="1440" w:bottom="1800" w:left="144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87086962"/>
      <w:docPartObj>
        <w:docPartGallery w:val="Page Numbers (Bottom of Page)"/>
        <w:docPartUnique/>
      </w:docPartObj>
    </w:sdtPr>
    <w:sdtEndPr/>
    <w:sdtContent>
      <w:p w:rsidR="00997CDA" w:rsidRDefault="003F26C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62113">
          <w:rPr>
            <w:noProof/>
            <w:lang w:val="zh-CN" w:eastAsia="zh-CN"/>
          </w:rPr>
          <w:t>26</w:t>
        </w:r>
        <w:r>
          <w:fldChar w:fldCharType="end"/>
        </w:r>
      </w:p>
    </w:sdtContent>
  </w:sdt>
  <w:p w:rsidR="00997CDA" w:rsidRDefault="003F26C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6CC"/>
    <w:rsid w:val="000731CB"/>
    <w:rsid w:val="00275F92"/>
    <w:rsid w:val="0029568F"/>
    <w:rsid w:val="00317F7C"/>
    <w:rsid w:val="003517B1"/>
    <w:rsid w:val="003F26CC"/>
    <w:rsid w:val="0060409E"/>
    <w:rsid w:val="00615B5F"/>
    <w:rsid w:val="00783965"/>
    <w:rsid w:val="00950ED0"/>
    <w:rsid w:val="009D7BE2"/>
    <w:rsid w:val="00A11F89"/>
    <w:rsid w:val="00A26124"/>
    <w:rsid w:val="00A4604F"/>
    <w:rsid w:val="00A571C8"/>
    <w:rsid w:val="00A57C61"/>
    <w:rsid w:val="00B43DCD"/>
    <w:rsid w:val="00BB7BE0"/>
    <w:rsid w:val="00C32A2C"/>
    <w:rsid w:val="00CA4D41"/>
    <w:rsid w:val="00CA5CE0"/>
    <w:rsid w:val="00CB143C"/>
    <w:rsid w:val="00CC5166"/>
    <w:rsid w:val="00CF7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95E620-5088-477C-BF7E-01AA1FC36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6CC"/>
    <w:pPr>
      <w:spacing w:line="240" w:lineRule="auto"/>
    </w:pPr>
    <w:rPr>
      <w:rFonts w:ascii="Times New Roman" w:eastAsiaTheme="minorEastAsia" w:hAnsi="Times New Roman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3F26CC"/>
    <w:pPr>
      <w:tabs>
        <w:tab w:val="center" w:pos="4153"/>
        <w:tab w:val="right" w:pos="8306"/>
      </w:tabs>
      <w:snapToGrid w:val="0"/>
      <w:spacing w:line="240" w:lineRule="atLeast"/>
      <w:jc w:val="both"/>
    </w:pPr>
    <w:rPr>
      <w:rFonts w:eastAsia="Times New Roman"/>
      <w:color w:val="000000"/>
      <w:sz w:val="18"/>
      <w:szCs w:val="18"/>
      <w:lang w:val="x-none" w:eastAsia="de-DE"/>
    </w:rPr>
  </w:style>
  <w:style w:type="character" w:customStyle="1" w:styleId="FooterChar">
    <w:name w:val="Footer Char"/>
    <w:basedOn w:val="DefaultParagraphFont"/>
    <w:link w:val="Footer"/>
    <w:uiPriority w:val="99"/>
    <w:rsid w:val="003F26CC"/>
    <w:rPr>
      <w:rFonts w:ascii="Times New Roman" w:eastAsia="Times New Roman" w:hAnsi="Times New Roman" w:cs="Times New Roman"/>
      <w:color w:val="000000"/>
      <w:sz w:val="18"/>
      <w:szCs w:val="18"/>
      <w:lang w:val="x-none" w:eastAsia="de-DE"/>
    </w:rPr>
  </w:style>
  <w:style w:type="paragraph" w:customStyle="1" w:styleId="2A">
    <w:name w:val="表格样式 2 A"/>
    <w:qFormat/>
    <w:rsid w:val="003F26CC"/>
    <w:pPr>
      <w:widowControl w:val="0"/>
      <w:spacing w:after="160" w:line="259" w:lineRule="auto"/>
      <w:jc w:val="both"/>
    </w:pPr>
    <w:rPr>
      <w:rFonts w:ascii="Helvetica" w:eastAsia="Arial Unicode MS" w:hAnsi="Helvetica" w:cs="Arial Unicode MS"/>
      <w:color w:val="000000"/>
      <w:sz w:val="20"/>
      <w:szCs w:val="20"/>
      <w:u w:color="000000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3F26CC"/>
    <w:pPr>
      <w:widowControl w:val="0"/>
      <w:jc w:val="both"/>
    </w:pPr>
    <w:rPr>
      <w:rFonts w:eastAsia="DengXian"/>
      <w:noProof/>
      <w:kern w:val="2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3F26CC"/>
    <w:rPr>
      <w:rFonts w:ascii="Times New Roman" w:eastAsia="DengXian" w:hAnsi="Times New Roman" w:cs="Times New Roman"/>
      <w:noProof/>
      <w:kern w:val="2"/>
      <w:szCs w:val="22"/>
      <w:lang w:eastAsia="zh-CN"/>
    </w:rPr>
  </w:style>
  <w:style w:type="paragraph" w:styleId="NormalWeb">
    <w:name w:val="Normal (Web)"/>
    <w:basedOn w:val="Normal"/>
    <w:uiPriority w:val="99"/>
    <w:unhideWhenUsed/>
    <w:rsid w:val="003F26C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835</Words>
  <Characters>4766</Characters>
  <Application>Microsoft Office Word</Application>
  <DocSecurity>0</DocSecurity>
  <Lines>39</Lines>
  <Paragraphs>11</Paragraphs>
  <ScaleCrop>false</ScaleCrop>
  <Company/>
  <LinksUpToDate>false</LinksUpToDate>
  <CharactersWithSpaces>5590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2020-02-25T00:02:00Z</dcterms:created>
  <dcterms:modified xsi:type="dcterms:W3CDTF">2020-02-25T00:02:00Z</dcterms:modified>
</cp:coreProperties>
</file>